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51C0A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0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6"/>
          <w:szCs w:val="2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6"/>
          <w:szCs w:val="26"/>
          <w:bdr w:val="none" w:color="auto" w:sz="0" w:space="0"/>
          <w:shd w:val="clear" w:fill="FEFEFE"/>
          <w:lang w:val="en-US" w:eastAsia="zh-CN" w:bidi="ar"/>
        </w:rPr>
        <w:t>2025年银行业金融机构总资产、总负债（季度）</w:t>
      </w:r>
    </w:p>
    <w:p w14:paraId="61999AD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250" w:right="250"/>
        <w:jc w:val="center"/>
        <w:rPr>
          <w:rFonts w:ascii="Calibri" w:hAnsi="Calibri" w:cs="Calibri"/>
          <w:sz w:val="21"/>
          <w:szCs w:val="21"/>
        </w:rPr>
      </w:pPr>
      <w:bookmarkStart w:id="0" w:name="_GoBack"/>
      <w:r>
        <w:rPr>
          <w:rFonts w:hint="default" w:ascii="Calibri" w:hAnsi="Calibri" w:eastAsia="微软雅黑" w:cs="Calibri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EFEFE"/>
          <w:lang w:val="en-US" w:eastAsia="zh-CN" w:bidi="ar"/>
        </w:rPr>
        <w:drawing>
          <wp:inline distT="0" distB="0" distL="114300" distR="114300">
            <wp:extent cx="5100320" cy="12859385"/>
            <wp:effectExtent l="0" t="0" r="5080" b="57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12859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AC62E4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44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2025-05-29T07:34:53Z</dcterms:created>
  <dc:creator>huawei</dc:creator>
  <cp:lastModifiedBy>李春慧</cp:lastModifiedBy>
  <dcterms:modified xsi:type="dcterms:W3CDTF">2025-05-29T07:35:43Z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eyJoZGlkIjoiZjBlZjljMDc5M2EwZGI1ODk3YWU2Y2Y0OGQ5ZTMzMmIiLCJ1c2VySWQiOiIzNDkxMzk2NTYifQ==</vt:lpwstr>
  </property>
  <property fmtid="{D5CDD505-2E9C-101B-9397-08002B2CF9AE}" pid="4" name="ICV">
    <vt:lpwstr>94692954CDB14DFC96202B2D69DC4747_12</vt:lpwstr>
  </property>
</Properties>
</file>