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8059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6"/>
          <w:szCs w:val="26"/>
          <w:bdr w:val="none" w:color="auto" w:sz="0" w:space="0"/>
          <w:shd w:val="clear" w:fill="FEFEFE"/>
          <w:lang w:val="en-US" w:eastAsia="zh-CN" w:bidi="ar"/>
        </w:rPr>
        <w:t>2025年商业银行主要监管指标情况表</w:t>
      </w:r>
    </w:p>
    <w:p w14:paraId="4A7EF2A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250" w:right="250"/>
        <w:jc w:val="center"/>
        <w:rPr>
          <w:rFonts w:ascii="Calibri" w:hAnsi="Calibri" w:cs="Calibri"/>
          <w:sz w:val="21"/>
          <w:szCs w:val="21"/>
        </w:rPr>
      </w:pPr>
      <w:bookmarkStart w:id="0" w:name="_GoBack"/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EFEFE"/>
          <w:lang w:val="en-US" w:eastAsia="zh-CN" w:bidi="ar"/>
        </w:rPr>
        <w:drawing>
          <wp:inline distT="0" distB="0" distL="114300" distR="114300">
            <wp:extent cx="8077200" cy="138303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383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48EAC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AD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2025-05-29T07:36:15Z</dcterms:created>
  <dc:creator>huawei</dc:creator>
  <cp:lastModifiedBy>李春慧</cp:lastModifiedBy>
  <dcterms:modified xsi:type="dcterms:W3CDTF">2025-05-29T07:37:02Z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eyJoZGlkIjoiZjBlZjljMDc5M2EwZGI1ODk3YWU2Y2Y0OGQ5ZTMzMmIiLCJ1c2VySWQiOiIzNDkxMzk2NTYifQ==</vt:lpwstr>
  </property>
  <property fmtid="{D5CDD505-2E9C-101B-9397-08002B2CF9AE}" pid="4" name="ICV">
    <vt:lpwstr>C29248A1ABB144F586F419A324313077_12</vt:lpwstr>
  </property>
</Properties>
</file>