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629D6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6"/>
          <w:szCs w:val="26"/>
          <w:bdr w:val="none" w:color="auto" w:sz="0" w:space="0"/>
          <w:shd w:val="clear" w:fill="FEFEFE"/>
          <w:lang w:val="en-US" w:eastAsia="zh-CN" w:bidi="ar"/>
        </w:rPr>
        <w:t>2025年商业银行主要指标分机构类情况表</w:t>
      </w:r>
    </w:p>
    <w:p w14:paraId="039C254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250" w:right="250"/>
        <w:jc w:val="both"/>
        <w:rPr>
          <w:rFonts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EFEFE"/>
          <w:lang w:val="en-US" w:eastAsia="zh-CN" w:bidi="ar"/>
        </w:rPr>
        <w:drawing>
          <wp:inline distT="0" distB="0" distL="114300" distR="114300">
            <wp:extent cx="9772650" cy="13182600"/>
            <wp:effectExtent l="0" t="0" r="635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24D00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A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2025-05-29T07:37:30Z</dcterms:created>
  <dc:creator>huawei</dc:creator>
  <cp:lastModifiedBy>李春慧</cp:lastModifiedBy>
  <dcterms:modified xsi:type="dcterms:W3CDTF">2025-05-29T07:37:38Z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eyJoZGlkIjoiZjBlZjljMDc5M2EwZGI1ODk3YWU2Y2Y0OGQ5ZTMzMmIiLCJ1c2VySWQiOiIzNDkxMzk2NTYifQ==</vt:lpwstr>
  </property>
  <property fmtid="{D5CDD505-2E9C-101B-9397-08002B2CF9AE}" pid="4" name="ICV">
    <vt:lpwstr>F3163DF544514D11AFE86FE5577309CF_12</vt:lpwstr>
  </property>
</Properties>
</file>