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E5" w:rsidRDefault="00727EE5" w:rsidP="00727EE5">
      <w:pPr>
        <w:pStyle w:val="p0"/>
        <w:shd w:val="clear" w:color="auto" w:fill="FFFFFF"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黑体" w:eastAsia="黑体" w:hAnsi="黑体" w:cs="Times New Roman" w:hint="eastAsia"/>
          <w:color w:val="333333"/>
          <w:sz w:val="36"/>
          <w:szCs w:val="36"/>
        </w:rPr>
        <w:t>银保监会优化资产支持计划发行程序</w:t>
      </w:r>
    </w:p>
    <w:p w:rsidR="00727EE5" w:rsidRDefault="00727EE5" w:rsidP="00727EE5">
      <w:pPr>
        <w:pStyle w:val="p0"/>
        <w:shd w:val="clear" w:color="auto" w:fill="FFFFFF"/>
        <w:spacing w:before="0" w:beforeAutospacing="0" w:after="0" w:afterAutospacing="0" w:line="600" w:lineRule="atLeast"/>
        <w:jc w:val="center"/>
        <w:rPr>
          <w:rFonts w:ascii="黑体" w:eastAsia="黑体" w:hAnsi="黑体" w:cs="Times New Roman"/>
          <w:color w:val="333333"/>
          <w:sz w:val="36"/>
          <w:szCs w:val="36"/>
        </w:rPr>
      </w:pPr>
      <w:r>
        <w:rPr>
          <w:rFonts w:ascii="黑体" w:eastAsia="黑体" w:hAnsi="黑体" w:cs="Times New Roman" w:hint="eastAsia"/>
          <w:color w:val="333333"/>
          <w:sz w:val="36"/>
          <w:szCs w:val="36"/>
        </w:rPr>
        <w:t>提升保险资金服务实体经济质效</w:t>
      </w:r>
    </w:p>
    <w:p w:rsidR="00727EE5" w:rsidRDefault="00727EE5" w:rsidP="00727EE5">
      <w:pPr>
        <w:pStyle w:val="p0"/>
        <w:shd w:val="clear" w:color="auto" w:fill="FFFFFF"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</w:p>
    <w:p w:rsidR="00727EE5" w:rsidRDefault="00727EE5" w:rsidP="00727EE5">
      <w:pPr>
        <w:pStyle w:val="p0"/>
        <w:shd w:val="clear" w:color="auto" w:fill="FFFFFF"/>
        <w:spacing w:before="0" w:beforeAutospacing="0" w:after="0" w:afterAutospacing="0" w:line="600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为进一步落实党中央、国务院“放管服”工作部署，推动资产支持计划业务发展，提高监管效率和透明程度，根据《保险资金运用管理办法》等相关规定，即日起，我会对保险资产管理机构首单资产支持计划之后发行的支持计划，实行注册制管理，交由中保保险资产登记交易系统有限公司（以下简称中保登）办理。</w:t>
      </w:r>
    </w:p>
    <w:p w:rsidR="00727EE5" w:rsidRDefault="00727EE5" w:rsidP="00727EE5">
      <w:pPr>
        <w:pStyle w:val="p0"/>
        <w:shd w:val="clear" w:color="auto" w:fill="FFFFFF"/>
        <w:spacing w:before="0" w:beforeAutospacing="0" w:after="0" w:afterAutospacing="0" w:line="600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优化资产支持计划发行程序，是银保监会落实党中央、国务院关于转变政府职能，把“放管服”改革作为全面深化改革重要工作部署的具体举措，有利于提升资产支持计划发行效率，增加产品供给，丰富保险资金配置渠道，更好服务保险主业发展；有利于盘活实体经济存量资产，促进融资结构调整，提升保险资金服务实体经济质效，切实推动保险机构更好服务国家重大改革举措。</w:t>
      </w:r>
    </w:p>
    <w:p w:rsidR="00727EE5" w:rsidRDefault="00727EE5" w:rsidP="00727EE5">
      <w:pPr>
        <w:pStyle w:val="p0"/>
        <w:shd w:val="clear" w:color="auto" w:fill="FFFFFF"/>
        <w:spacing w:before="0" w:beforeAutospacing="0" w:after="0" w:afterAutospacing="0" w:line="600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下一步，银保监会将加强对中保登的业务指导，强化对资产支持计划的业务监管，确保注册工作规范、有序进行</w:t>
      </w:r>
      <w:r w:rsidR="007328C2"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。</w:t>
      </w:r>
      <w:bookmarkStart w:id="0" w:name="_GoBack"/>
      <w:bookmarkEnd w:id="0"/>
    </w:p>
    <w:p w:rsidR="001004AC" w:rsidRPr="00727EE5" w:rsidRDefault="001004AC"/>
    <w:sectPr w:rsidR="001004AC" w:rsidRPr="00727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0"/>
    <w:rsid w:val="001004AC"/>
    <w:rsid w:val="003855E0"/>
    <w:rsid w:val="00727EE5"/>
    <w:rsid w:val="0073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996B4-B3C5-4223-9748-341A911B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27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自律部外网</dc:creator>
  <cp:keywords/>
  <dc:description/>
  <cp:lastModifiedBy>自律部外网</cp:lastModifiedBy>
  <cp:revision>4</cp:revision>
  <dcterms:created xsi:type="dcterms:W3CDTF">2019-07-12T01:17:00Z</dcterms:created>
  <dcterms:modified xsi:type="dcterms:W3CDTF">2019-07-12T01:18:00Z</dcterms:modified>
</cp:coreProperties>
</file>